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56"/>
        <w:gridCol w:w="5045"/>
        <w:gridCol w:w="10091"/>
        <w:gridCol w:w="113"/>
      </w:tblGrid>
      <w:tr>
        <w:trPr>
          <w:trHeight w:val="283" w:hRule="atLeast"/>
        </w:trPr>
        <w:tc>
          <w:tcPr>
            <w:tcW w:w="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GORIČKA 18/a , 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0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0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48658001244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0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3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37"/>
            </w:tblGrid>
            <w:tr>
              <w:trPr>
                <w:trHeight w:val="281" w:hRule="atLeast"/>
              </w:trPr>
              <w:tc>
                <w:tcPr>
                  <w:tcW w:w="151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2.izmjene i dopune Plana proračuna 2024.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37"/>
            </w:tblGrid>
            <w:tr>
              <w:trPr>
                <w:trHeight w:val="281" w:hRule="atLeast"/>
              </w:trPr>
              <w:tc>
                <w:tcPr>
                  <w:tcW w:w="151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OPĆI DIO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3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56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5"/>
              <w:gridCol w:w="8362"/>
              <w:gridCol w:w="1814"/>
              <w:gridCol w:w="1814"/>
              <w:gridCol w:w="963"/>
              <w:gridCol w:w="1814"/>
            </w:tblGrid>
            <w:tr>
              <w:trPr>
                <w:trHeight w:val="205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PROMJENA</w:t>
                  </w:r>
                </w:p>
              </w:tc>
              <w:tc>
                <w:tcPr>
                  <w:tcW w:w="9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PLANIRANO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IZNOS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(%)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NOVI IZNOS</w:t>
                  </w:r>
                </w:p>
              </w:tc>
            </w:tr>
            <w:tr>
              <w:trPr>
                <w:trHeight w:val="92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A.</w:t>
                  </w: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RAČUN PRIHODA I RASHODA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poslovanja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4.907.062,59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-2.884.453,50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-58.8%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2.022.609,09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1.229.771,93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184.656,61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1.414.428,54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6.433.060,94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-6.026.310,17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-93.7%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406.750,77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RAZLIKA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-2.755.770,28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2.957.200,06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-107.3%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201.429,78</w:t>
                  </w:r>
                </w:p>
              </w:tc>
            </w:tr>
            <w:tr>
              <w:trPr>
                <w:trHeight w:val="92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B.</w:t>
                  </w: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RAČUN ZADUŽIVANJA/FINANCIRANJA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2.924.000,00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-2.923.216,72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-100.0%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783,28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223.090,58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33.983,34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15.2%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257.073,92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NETO ZADUŽIVANJE/FINANCIRANJE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2.700.909,42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-2.957.200,06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-109.5%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-256.290,64</w:t>
                  </w:r>
                </w:p>
              </w:tc>
            </w:tr>
            <w:tr>
              <w:trPr>
                <w:trHeight w:val="92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C.</w:t>
                  </w: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VIŠAK/MANJAK IZ PRETHODNIH GODINA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54.860,86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54.860,86</w:t>
                  </w:r>
                </w:p>
              </w:tc>
            </w:tr>
            <w:tr>
              <w:trPr>
                <w:trHeight w:val="92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0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5251"/>
        <w:gridCol w:w="55"/>
      </w:tblGrid>
      <w:tr>
        <w:trPr>
          <w:trHeight w:val="453" w:hRule="atLeast"/>
        </w:trPr>
        <w:tc>
          <w:tcPr>
            <w:tcW w:w="152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525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>
              <w:trPr>
                <w:trHeight w:val="131" w:hRule="atLeast"/>
              </w:trPr>
              <w:tc>
                <w:tcPr>
                  <w:tcW w:w="1021" w:type="dxa"/>
                  <w:tcBorders>
                    <w:top w:val="single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single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single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hMerge w:val="restart"/>
                  <w:tcBorders>
                    <w:top w:val="single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PROMJENA</w:t>
                  </w:r>
                </w:p>
              </w:tc>
              <w:tc>
                <w:tcPr>
                  <w:tcW w:w="963" w:type="dxa"/>
                  <w:hMerge w:val="continue"/>
                  <w:tcBorders>
                    <w:top w:val="single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hMerge w:val="continue"/>
                  <w:tcBorders>
                    <w:top w:val="single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31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BROJ KONTA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VRSTA PRIHODA / RASHODA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PLANIRANO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IZNOS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(%)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NOVI IZNOS</w:t>
                  </w:r>
                </w:p>
              </w:tc>
            </w:tr>
            <w:tr>
              <w:trPr>
                <w:trHeight w:val="35" w:hRule="atLeast"/>
              </w:trPr>
              <w:tc>
                <w:tcPr>
                  <w:tcW w:w="1021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A. RAČUN PRIHODA I RASHODA</w:t>
                  </w:r>
                </w:p>
              </w:tc>
              <w:tc>
                <w:tcPr>
                  <w:tcW w:w="782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Prihodi poslovanja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4.907.062,59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-2.884.453,50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-58.8%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2.022.609,09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1.104.600,00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88.300,00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1.192.900,00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3.658.903,59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-2.976.563,50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-81.4%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682.340,09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Prihodi od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33.754,00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-470,00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-1.4%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33.284,00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108.890,00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4.780,00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4.4%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113.670,00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Prihodi od prodaje proizvoda i robe te pruženih usluga i prihodi od donacija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Prihodi iz nadležnog proračuna i od HZZO-a temeljem ugovornih obveza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-500,00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-100%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1.229.771,93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184.656,61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15.0%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1.414.428,54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Rashodi za zaposlene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180.650,00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10.200,00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5.6%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190.850,00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Materijalni rashodi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500.409,39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113.746,38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22.7%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614.155,77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Financijski rashodi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38.142,59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-3.000,00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-7.9%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35.142,59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Subvencije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45.569,00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2.2%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46.569,00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3.670,55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3.670,55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220.856,00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46.910,57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21.2%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267.766,57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240.474,40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15.799,66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6.6%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256.274,06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6.433.060,94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-6.026.310,17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-93.7%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406.750,77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118.700,00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-56.060,00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-47.2%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62.640,00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6.292.360,94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-5.967.250,17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-94.8%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325.110,77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-3.000,00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-13.6%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19.000,00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B. RAČUN ZADUŽIVANJA/FINANCIRANJA</w:t>
                  </w:r>
                </w:p>
              </w:tc>
              <w:tc>
                <w:tcPr>
                  <w:tcW w:w="782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2.924.000,00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-2.923.216,72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-100.0%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783,28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2.924.000,00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-2.923.216,72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-100.0%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783,28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223.090,58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33.983,34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15.2%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257.073,92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Izdaci za otplatu glavnice primljenih kredita i zajmova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223.090,58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33.983,34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15.2%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257.073,92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C. RASPOLOŽIVA SREDSTVA IZ PRETHODNIH GODINA</w:t>
                  </w:r>
                </w:p>
              </w:tc>
              <w:tc>
                <w:tcPr>
                  <w:tcW w:w="782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Vlastiti izvori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54.860,86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54.860,86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Rezultat poslovanja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54.860,86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54.860,86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6837" w:h="11905" w:orient="landscape"/>
      <w:pgMar w:top="1133" w:right="566" w:bottom="1020" w:left="566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551"/>
      <w:gridCol w:w="212"/>
      <w:gridCol w:w="10899"/>
      <w:gridCol w:w="113"/>
      <w:gridCol w:w="1417"/>
      <w:gridCol w:w="113"/>
    </w:tblGrid>
    <w:tr>
      <w:trPr/>
      <w:tc>
        <w:tcPr>
          <w:tcW w:w="2551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0899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551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551"/>
          </w:tblGrid>
          <w:tr>
            <w:trPr>
              <w:trHeight w:val="205" w:hRule="atLeast"/>
            </w:trPr>
            <w:tc>
              <w:tcPr>
                <w:tcW w:w="255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LC Šifra apl. (2024)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899"/>
          </w:tblGrid>
          <w:tr>
            <w:trPr>
              <w:trHeight w:val="205" w:hRule="atLeast"/>
            </w:trPr>
            <w:tc>
              <w:tcPr>
                <w:tcW w:w="1089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05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55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5102"/>
      <w:gridCol w:w="7937"/>
      <w:gridCol w:w="793"/>
      <w:gridCol w:w="56"/>
      <w:gridCol w:w="1303"/>
      <w:gridCol w:w="113"/>
    </w:tblGrid>
    <w:tr>
      <w:trPr/>
      <w:tc>
        <w:tcPr>
          <w:tcW w:w="510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102"/>
          </w:tblGrid>
          <w:tr>
            <w:trPr>
              <w:trHeight w:val="283" w:hRule="atLeast"/>
            </w:trPr>
            <w:tc>
              <w:tcPr>
                <w:tcW w:w="510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0"/>
                  </w:rPr>
                  <w:t xml:space="preserve">OPĆINA MARIJA GORICA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93"/>
          </w:tblGrid>
          <w:tr>
            <w:trPr>
              <w:trHeight w:val="283" w:hRule="atLeast"/>
            </w:trPr>
            <w:tc>
              <w:tcPr>
                <w:tcW w:w="79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Datum: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303"/>
          </w:tblGrid>
          <w:tr>
            <w:trPr>
              <w:trHeight w:val="283" w:hRule="atLeast"/>
            </w:trPr>
            <w:tc>
              <w:tcPr>
                <w:tcW w:w="130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12.12.2024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510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102"/>
          </w:tblGrid>
          <w:tr>
            <w:trPr>
              <w:trHeight w:val="283" w:hRule="atLeast"/>
            </w:trPr>
            <w:tc>
              <w:tcPr>
                <w:tcW w:w="510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rPr>
                    <w:sz w:val="0"/>
                  </w:rPr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93"/>
          </w:tblGrid>
          <w:tr>
            <w:trPr>
              <w:trHeight w:val="283" w:hRule="atLeast"/>
            </w:trPr>
            <w:tc>
              <w:tcPr>
                <w:tcW w:w="79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Vrijeme: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303"/>
          </w:tblGrid>
          <w:tr>
            <w:trPr>
              <w:trHeight w:val="283" w:hRule="atLeast"/>
            </w:trPr>
            <w:tc>
              <w:tcPr>
                <w:tcW w:w="130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14:31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LCW147_IspisRebalansaProracunaOpciDioProsireniTipII</dc:title>
</cp:coreProperties>
</file>